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7F3" w:rsidRPr="0078712F" w:rsidRDefault="0078712F" w:rsidP="0078712F">
      <w:pPr>
        <w:jc w:val="center"/>
        <w:rPr>
          <w:b/>
          <w:sz w:val="28"/>
        </w:rPr>
      </w:pPr>
      <w:r w:rsidRPr="0078712F">
        <w:rPr>
          <w:b/>
          <w:sz w:val="28"/>
        </w:rPr>
        <w:t xml:space="preserve">Proposition de stage </w:t>
      </w:r>
      <w:r w:rsidR="000E6528">
        <w:rPr>
          <w:b/>
          <w:sz w:val="28"/>
        </w:rPr>
        <w:t>M1 ou M2</w:t>
      </w:r>
    </w:p>
    <w:p w:rsidR="0078712F" w:rsidRDefault="0078712F"/>
    <w:p w:rsidR="0078712F" w:rsidRDefault="0078712F"/>
    <w:p w:rsidR="0078712F" w:rsidRPr="000E6528" w:rsidRDefault="00C20EA2" w:rsidP="000E6528">
      <w:pPr>
        <w:jc w:val="center"/>
        <w:rPr>
          <w:b/>
          <w:sz w:val="28"/>
        </w:rPr>
      </w:pPr>
      <w:r w:rsidRPr="000E6528">
        <w:rPr>
          <w:b/>
          <w:sz w:val="28"/>
        </w:rPr>
        <w:t>Spectroscopie de molécules chirales en jet supersonique</w:t>
      </w:r>
    </w:p>
    <w:p w:rsidR="0078712F" w:rsidRDefault="0078712F" w:rsidP="000E6528">
      <w:pPr>
        <w:jc w:val="center"/>
      </w:pPr>
    </w:p>
    <w:p w:rsidR="00A75FA0" w:rsidRDefault="0078712F" w:rsidP="000E6528">
      <w:pPr>
        <w:jc w:val="center"/>
      </w:pPr>
      <w:r w:rsidRPr="0078712F">
        <w:rPr>
          <w:b/>
        </w:rPr>
        <w:t>Responsable</w:t>
      </w:r>
      <w:r>
        <w:t xml:space="preserve"> </w:t>
      </w:r>
      <w:r w:rsidR="00C20EA2">
        <w:t xml:space="preserve">Anne </w:t>
      </w:r>
      <w:proofErr w:type="spellStart"/>
      <w:r w:rsidR="00C20EA2">
        <w:t>Zehnacker</w:t>
      </w:r>
      <w:proofErr w:type="spellEnd"/>
      <w:r w:rsidR="00C20EA2">
        <w:t>/</w:t>
      </w:r>
      <w:proofErr w:type="spellStart"/>
      <w:r w:rsidR="00C20EA2">
        <w:t>Valéria</w:t>
      </w:r>
      <w:proofErr w:type="spellEnd"/>
      <w:r w:rsidR="00C20EA2">
        <w:t xml:space="preserve"> Lepère</w:t>
      </w:r>
    </w:p>
    <w:p w:rsidR="00C20EA2" w:rsidRDefault="00077CBD" w:rsidP="000E6528">
      <w:pPr>
        <w:jc w:val="center"/>
      </w:pPr>
      <w:hyperlink r:id="rId6" w:history="1">
        <w:r w:rsidR="00C20EA2" w:rsidRPr="002449B7">
          <w:rPr>
            <w:rStyle w:val="Lienhypertexte"/>
          </w:rPr>
          <w:t>anne.zehnacker-rentien@u-psud.fr</w:t>
        </w:r>
      </w:hyperlink>
      <w:r w:rsidR="00C20EA2">
        <w:t xml:space="preserve">   et </w:t>
      </w:r>
      <w:hyperlink r:id="rId7" w:history="1">
        <w:r w:rsidR="00C20EA2" w:rsidRPr="002449B7">
          <w:rPr>
            <w:rStyle w:val="Lienhypertexte"/>
          </w:rPr>
          <w:t>valeria.lepere@u-psud.fr</w:t>
        </w:r>
      </w:hyperlink>
    </w:p>
    <w:p w:rsidR="00A75FA0" w:rsidRDefault="00A75FA0" w:rsidP="000E6528">
      <w:pPr>
        <w:jc w:val="center"/>
      </w:pPr>
    </w:p>
    <w:p w:rsidR="00C20EA2" w:rsidRDefault="00C20EA2" w:rsidP="000E6528">
      <w:pPr>
        <w:jc w:val="center"/>
        <w:rPr>
          <w:b/>
        </w:rPr>
      </w:pPr>
    </w:p>
    <w:p w:rsidR="005B25D5" w:rsidRDefault="00C20EA2" w:rsidP="006110BD">
      <w:pPr>
        <w:ind w:firstLine="708"/>
        <w:jc w:val="both"/>
      </w:pPr>
      <w:r>
        <w:t>La chiralité joue un</w:t>
      </w:r>
      <w:bookmarkStart w:id="0" w:name="_GoBack"/>
      <w:bookmarkEnd w:id="0"/>
      <w:r>
        <w:t xml:space="preserve"> rôle primordial dans la chimie du vivant</w:t>
      </w:r>
      <w:r w:rsidR="003779B4">
        <w:t> et</w:t>
      </w:r>
      <w:r>
        <w:t xml:space="preserve"> la plupart des biomolécules comme les sucres ou les protéines sont chirales. Près de la moitié des médicaments utilisés aujourd’hui sont eux-mêmes chiraux. </w:t>
      </w:r>
      <w:r w:rsidR="009A77F7">
        <w:t>C</w:t>
      </w:r>
      <w:r>
        <w:t xml:space="preserve">ertains ont une activité différente selon l’énantiomère considéré. </w:t>
      </w:r>
      <w:r w:rsidR="00413BC6">
        <w:t>En effet, les récepteurs du corps humains étant eux même chiraux, ils interagissent différemment avec les deux énantiomères</w:t>
      </w:r>
      <w:r w:rsidR="005B25D5">
        <w:t xml:space="preserve"> du médicament</w:t>
      </w:r>
      <w:r w:rsidR="00413BC6">
        <w:t>.</w:t>
      </w:r>
      <w:r w:rsidR="005E607C">
        <w:t xml:space="preserve"> </w:t>
      </w:r>
      <w:r w:rsidR="00413BC6">
        <w:t xml:space="preserve">Il est donc important de distinguer </w:t>
      </w:r>
      <w:r w:rsidR="005B25D5">
        <w:t>les d</w:t>
      </w:r>
      <w:r w:rsidR="00413BC6">
        <w:t xml:space="preserve">eux énantiomères </w:t>
      </w:r>
      <w:r w:rsidR="005B25D5">
        <w:t xml:space="preserve">d’une molécule chirale </w:t>
      </w:r>
      <w:r w:rsidR="003779B4">
        <w:t>et</w:t>
      </w:r>
      <w:r w:rsidR="00413BC6">
        <w:t xml:space="preserve"> de comprendre les interactions entre molécules chirales. </w:t>
      </w:r>
      <w:r w:rsidR="005B25D5">
        <w:t>Pour cela, n</w:t>
      </w:r>
      <w:r w:rsidR="00413BC6">
        <w:t>ous développons différentes approches spectroscopiques en phase gazeuse et en phase condensée, couplé</w:t>
      </w:r>
      <w:r w:rsidR="003779B4">
        <w:t>e</w:t>
      </w:r>
      <w:r w:rsidR="00413BC6">
        <w:t xml:space="preserve">s à des calculs de chimie quantique. </w:t>
      </w:r>
    </w:p>
    <w:p w:rsidR="005B25D5" w:rsidRDefault="005B25D5" w:rsidP="006110BD">
      <w:pPr>
        <w:jc w:val="both"/>
      </w:pPr>
    </w:p>
    <w:p w:rsidR="009A77F7" w:rsidRDefault="00413BC6" w:rsidP="006110BD">
      <w:pPr>
        <w:ind w:firstLine="708"/>
        <w:jc w:val="both"/>
      </w:pPr>
      <w:r>
        <w:t xml:space="preserve">Le sujet proposé, </w:t>
      </w:r>
      <w:r w:rsidR="003779B4">
        <w:t>essentiellement</w:t>
      </w:r>
      <w:r>
        <w:t xml:space="preserve"> expérimental, </w:t>
      </w:r>
      <w:r w:rsidR="005E607C">
        <w:t>concerne</w:t>
      </w:r>
      <w:r>
        <w:t xml:space="preserve"> la spectroscopie en </w:t>
      </w:r>
      <w:r w:rsidR="003779B4">
        <w:t>phase gazeuse</w:t>
      </w:r>
      <w:r>
        <w:t xml:space="preserve"> de molécules chirales et de leurs </w:t>
      </w:r>
      <w:r w:rsidR="005B25D5">
        <w:t>agrégats</w:t>
      </w:r>
      <w:r>
        <w:t>.</w:t>
      </w:r>
      <w:r w:rsidR="005B25D5">
        <w:t xml:space="preserve"> Il repose sur l’utilisation d’un jet supersonique équipé d’une source d’ablation laser, qui permet l’étude en phase gazeuse de molécules, froides (10K) et isolées, et de complexes </w:t>
      </w:r>
      <w:r w:rsidR="009A77F7">
        <w:t>peu</w:t>
      </w:r>
      <w:r w:rsidR="005E607C">
        <w:t xml:space="preserve"> liés, dont la</w:t>
      </w:r>
      <w:r w:rsidR="005B25D5">
        <w:t xml:space="preserve"> structure est caractérisée par spectroscopie</w:t>
      </w:r>
      <w:r w:rsidR="009A77F7">
        <w:t xml:space="preserve"> laser UV </w:t>
      </w:r>
      <w:r w:rsidR="005B25D5">
        <w:t>et IR</w:t>
      </w:r>
      <w:r w:rsidR="009A77F7">
        <w:t>.</w:t>
      </w:r>
    </w:p>
    <w:p w:rsidR="005B25D5" w:rsidRDefault="005B25D5" w:rsidP="006110BD">
      <w:pPr>
        <w:ind w:firstLine="708"/>
        <w:jc w:val="both"/>
      </w:pPr>
      <w:r>
        <w:t xml:space="preserve"> </w:t>
      </w:r>
    </w:p>
    <w:p w:rsidR="009A77F7" w:rsidRDefault="009A77F7" w:rsidP="006110BD">
      <w:pPr>
        <w:ind w:firstLine="708"/>
        <w:jc w:val="both"/>
      </w:pPr>
      <w:r>
        <w:t xml:space="preserve">Le sujet </w:t>
      </w:r>
      <w:r w:rsidR="003779B4">
        <w:t>comporte</w:t>
      </w:r>
      <w:r w:rsidR="005B25D5">
        <w:t xml:space="preserve"> deux</w:t>
      </w:r>
      <w:r>
        <w:t xml:space="preserve"> parties. La première consiste</w:t>
      </w:r>
      <w:r w:rsidR="005B25D5">
        <w:t xml:space="preserve"> à étudier des complexes de molécules comportant plusieurs centres chira</w:t>
      </w:r>
      <w:r>
        <w:t xml:space="preserve">ux, qui seront choisis de chiralité identique ou opposée, </w:t>
      </w:r>
      <w:r w:rsidR="00A61EA1">
        <w:t>et à</w:t>
      </w:r>
      <w:r w:rsidR="005B25D5">
        <w:t xml:space="preserve"> voir l’effet de la </w:t>
      </w:r>
      <w:proofErr w:type="spellStart"/>
      <w:r w:rsidR="005B25D5">
        <w:t>microsolvatation</w:t>
      </w:r>
      <w:proofErr w:type="spellEnd"/>
      <w:r w:rsidR="005B25D5">
        <w:t xml:space="preserve"> sur la structure de </w:t>
      </w:r>
      <w:r>
        <w:t>ces</w:t>
      </w:r>
      <w:r w:rsidR="005B25D5">
        <w:t xml:space="preserve"> molécule</w:t>
      </w:r>
      <w:r>
        <w:t>s.</w:t>
      </w:r>
      <w:r w:rsidR="003779B4">
        <w:t xml:space="preserve"> Les résultats obtenus </w:t>
      </w:r>
      <w:r w:rsidR="006C7570">
        <w:t>seront utilisés pour comprendre des expériences de dichroïsme circulaire vibrationnel en phase condensée.</w:t>
      </w:r>
      <w:r>
        <w:t xml:space="preserve"> </w:t>
      </w:r>
    </w:p>
    <w:p w:rsidR="009A77F7" w:rsidRDefault="003779B4" w:rsidP="006110BD">
      <w:pPr>
        <w:ind w:firstLine="708"/>
        <w:jc w:val="both"/>
      </w:pPr>
      <w:r w:rsidRPr="009A77F7">
        <w:rPr>
          <w:rFonts w:ascii="Calibri" w:hAnsi="Calibri"/>
          <w:noProof/>
          <w:color w:val="FF0000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3110471</wp:posOffset>
            </wp:positionH>
            <wp:positionV relativeFrom="paragraph">
              <wp:posOffset>461404</wp:posOffset>
            </wp:positionV>
            <wp:extent cx="2833370" cy="541655"/>
            <wp:effectExtent l="0" t="0" r="0" b="0"/>
            <wp:wrapNone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42" t="-3" r="-3156" b="-1580"/>
                    <a:stretch/>
                  </pic:blipFill>
                  <pic:spPr bwMode="auto">
                    <a:xfrm>
                      <a:off x="0" y="0"/>
                      <a:ext cx="283337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9B4" w:rsidRDefault="003779B4" w:rsidP="006110BD">
      <w:pPr>
        <w:ind w:firstLine="142"/>
        <w:jc w:val="both"/>
        <w:sectPr w:rsidR="003779B4" w:rsidSect="00515A12">
          <w:headerReference w:type="default" r:id="rId9"/>
          <w:pgSz w:w="11900" w:h="16840"/>
          <w:pgMar w:top="1383" w:right="1134" w:bottom="1134" w:left="1134" w:header="709" w:footer="709" w:gutter="0"/>
          <w:cols w:space="708"/>
        </w:sectPr>
      </w:pPr>
    </w:p>
    <w:p w:rsidR="009A77F7" w:rsidRDefault="003779B4" w:rsidP="006110BD">
      <w:pPr>
        <w:ind w:firstLine="142"/>
        <w:jc w:val="both"/>
        <w:rPr>
          <w:i/>
          <w:noProof/>
          <w:lang w:val="en-US"/>
        </w:rPr>
      </w:pPr>
      <w:r w:rsidRPr="009A77F7">
        <w:rPr>
          <w:noProof/>
          <w:lang w:val="en-GB" w:eastAsia="en-GB"/>
        </w:rPr>
        <w:drawing>
          <wp:inline distT="0" distB="0" distL="0" distR="0" wp14:anchorId="3BC7FEFA" wp14:editId="028D9E75">
            <wp:extent cx="2119773" cy="1166911"/>
            <wp:effectExtent l="0" t="0" r="0" b="0"/>
            <wp:docPr id="1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052" cy="116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7F7" w:rsidRPr="009A77F7" w:rsidRDefault="009A77F7" w:rsidP="006110BD">
      <w:pPr>
        <w:jc w:val="both"/>
        <w:rPr>
          <w:rFonts w:ascii="Calibri" w:hAnsi="Calibri"/>
          <w:lang w:val="en-US"/>
        </w:rPr>
      </w:pPr>
    </w:p>
    <w:p w:rsidR="003779B4" w:rsidRDefault="003779B4" w:rsidP="006110BD">
      <w:pPr>
        <w:pStyle w:val="Paragraphedeliste"/>
        <w:ind w:left="357" w:firstLine="351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Dip</w:t>
      </w:r>
      <w:r w:rsidRPr="003779B4">
        <w:rPr>
          <w:rFonts w:ascii="Calibri" w:hAnsi="Calibri"/>
          <w:i/>
          <w:sz w:val="20"/>
          <w:szCs w:val="20"/>
        </w:rPr>
        <w:t>eptides de type</w:t>
      </w:r>
      <w:r>
        <w:t xml:space="preserve"> </w:t>
      </w:r>
      <w:r w:rsidR="009A77F7" w:rsidRPr="003779B4">
        <w:rPr>
          <w:rFonts w:ascii="Calibri" w:hAnsi="Calibri"/>
          <w:i/>
          <w:sz w:val="20"/>
          <w:szCs w:val="20"/>
        </w:rPr>
        <w:t>2,5-Diketopiperazine (DKP)</w:t>
      </w:r>
      <w:r>
        <w:rPr>
          <w:rFonts w:ascii="Calibri" w:hAnsi="Calibri"/>
          <w:i/>
          <w:sz w:val="20"/>
          <w:szCs w:val="20"/>
        </w:rPr>
        <w:t>.</w:t>
      </w:r>
      <w:r w:rsidR="009B0CD6" w:rsidRPr="003779B4">
        <w:rPr>
          <w:rFonts w:ascii="Calibri" w:hAnsi="Calibri"/>
          <w:i/>
          <w:sz w:val="20"/>
          <w:szCs w:val="20"/>
        </w:rPr>
        <w:t xml:space="preserve"> </w:t>
      </w:r>
      <w:r w:rsidR="009A77F7" w:rsidRPr="003779B4">
        <w:rPr>
          <w:rFonts w:ascii="Calibri" w:hAnsi="Calibri"/>
          <w:i/>
          <w:sz w:val="20"/>
          <w:szCs w:val="20"/>
        </w:rPr>
        <w:t xml:space="preserve"> </w:t>
      </w:r>
      <w:r w:rsidR="009A77F7" w:rsidRPr="009B0CD6">
        <w:rPr>
          <w:rFonts w:ascii="Calibri" w:hAnsi="Calibri"/>
          <w:i/>
          <w:sz w:val="20"/>
          <w:szCs w:val="20"/>
        </w:rPr>
        <w:t xml:space="preserve">R1 </w:t>
      </w:r>
      <w:r w:rsidR="009B0CD6" w:rsidRPr="009B0CD6">
        <w:rPr>
          <w:rFonts w:ascii="Calibri" w:hAnsi="Calibri"/>
          <w:i/>
          <w:sz w:val="20"/>
          <w:szCs w:val="20"/>
        </w:rPr>
        <w:t xml:space="preserve">et </w:t>
      </w:r>
      <w:r w:rsidR="009A77F7" w:rsidRPr="009B0CD6">
        <w:rPr>
          <w:rFonts w:ascii="Calibri" w:hAnsi="Calibri"/>
          <w:i/>
          <w:sz w:val="20"/>
          <w:szCs w:val="20"/>
        </w:rPr>
        <w:t xml:space="preserve">R2 </w:t>
      </w:r>
      <w:r w:rsidR="00A37AE9">
        <w:rPr>
          <w:rFonts w:ascii="Calibri" w:hAnsi="Calibri"/>
          <w:i/>
          <w:sz w:val="20"/>
          <w:szCs w:val="20"/>
        </w:rPr>
        <w:t>sont la</w:t>
      </w:r>
      <w:r w:rsidR="009A77F7" w:rsidRPr="009B0CD6">
        <w:rPr>
          <w:rFonts w:ascii="Calibri" w:hAnsi="Calibri"/>
          <w:i/>
          <w:sz w:val="20"/>
          <w:szCs w:val="20"/>
        </w:rPr>
        <w:t xml:space="preserve"> ph</w:t>
      </w:r>
      <w:r w:rsidR="009B0CD6">
        <w:rPr>
          <w:rFonts w:ascii="Calibri" w:hAnsi="Calibri"/>
          <w:i/>
          <w:sz w:val="20"/>
          <w:szCs w:val="20"/>
        </w:rPr>
        <w:t>é</w:t>
      </w:r>
      <w:r w:rsidR="009A77F7" w:rsidRPr="009B0CD6">
        <w:rPr>
          <w:rFonts w:ascii="Calibri" w:hAnsi="Calibri"/>
          <w:i/>
          <w:sz w:val="20"/>
          <w:szCs w:val="20"/>
        </w:rPr>
        <w:t>nylalanine,</w:t>
      </w:r>
      <w:r w:rsidR="004D64B9">
        <w:rPr>
          <w:rFonts w:ascii="Calibri" w:hAnsi="Calibri"/>
          <w:i/>
          <w:sz w:val="20"/>
          <w:szCs w:val="20"/>
        </w:rPr>
        <w:t xml:space="preserve"> la</w:t>
      </w:r>
      <w:r w:rsidR="009A77F7" w:rsidRPr="009B0CD6">
        <w:rPr>
          <w:rFonts w:ascii="Calibri" w:hAnsi="Calibri"/>
          <w:i/>
          <w:sz w:val="20"/>
          <w:szCs w:val="20"/>
        </w:rPr>
        <w:t xml:space="preserve"> tyrosine, </w:t>
      </w:r>
      <w:r w:rsidR="004D64B9">
        <w:rPr>
          <w:rFonts w:ascii="Calibri" w:hAnsi="Calibri"/>
          <w:i/>
          <w:sz w:val="20"/>
          <w:szCs w:val="20"/>
        </w:rPr>
        <w:t>l’</w:t>
      </w:r>
      <w:r w:rsidRPr="009B0CD6">
        <w:rPr>
          <w:rFonts w:ascii="Calibri" w:hAnsi="Calibri"/>
          <w:i/>
          <w:sz w:val="20"/>
          <w:szCs w:val="20"/>
        </w:rPr>
        <w:t xml:space="preserve">histidine </w:t>
      </w:r>
      <w:r>
        <w:rPr>
          <w:rFonts w:ascii="Calibri" w:hAnsi="Calibri"/>
          <w:i/>
          <w:sz w:val="20"/>
          <w:szCs w:val="20"/>
        </w:rPr>
        <w:t xml:space="preserve">ou la </w:t>
      </w:r>
      <w:r w:rsidRPr="009B0CD6">
        <w:rPr>
          <w:rFonts w:ascii="Calibri" w:hAnsi="Calibri"/>
          <w:i/>
          <w:sz w:val="20"/>
          <w:szCs w:val="20"/>
        </w:rPr>
        <w:t>proline.</w:t>
      </w:r>
    </w:p>
    <w:p w:rsidR="003779B4" w:rsidRDefault="003779B4" w:rsidP="006110BD">
      <w:pPr>
        <w:pStyle w:val="Paragraphedeliste"/>
        <w:ind w:left="357" w:firstLine="351"/>
        <w:jc w:val="both"/>
        <w:rPr>
          <w:rFonts w:ascii="Calibri" w:hAnsi="Calibri"/>
          <w:i/>
          <w:sz w:val="20"/>
          <w:szCs w:val="20"/>
        </w:rPr>
      </w:pPr>
    </w:p>
    <w:p w:rsidR="003779B4" w:rsidRPr="004D64B9" w:rsidRDefault="003779B4" w:rsidP="006110BD">
      <w:pPr>
        <w:pStyle w:val="Paragraphedeliste"/>
        <w:ind w:left="357" w:firstLine="351"/>
        <w:jc w:val="both"/>
        <w:rPr>
          <w:rFonts w:ascii="Calibri" w:hAnsi="Calibri"/>
          <w:i/>
          <w:sz w:val="20"/>
          <w:szCs w:val="20"/>
        </w:rPr>
      </w:pPr>
      <w:r w:rsidRPr="004D64B9">
        <w:rPr>
          <w:rFonts w:ascii="Calibri" w:hAnsi="Calibri"/>
          <w:i/>
          <w:sz w:val="20"/>
          <w:szCs w:val="20"/>
        </w:rPr>
        <w:t xml:space="preserve"> </w:t>
      </w:r>
    </w:p>
    <w:p w:rsidR="009A77F7" w:rsidRPr="004D64B9" w:rsidRDefault="009A77F7" w:rsidP="006110BD">
      <w:pPr>
        <w:pStyle w:val="Paragraphedeliste"/>
        <w:ind w:left="-1134" w:firstLine="1842"/>
        <w:jc w:val="both"/>
        <w:rPr>
          <w:rFonts w:ascii="Calibri" w:hAnsi="Calibri"/>
          <w:i/>
          <w:sz w:val="20"/>
          <w:szCs w:val="20"/>
        </w:rPr>
      </w:pPr>
      <w:r w:rsidRPr="004D64B9">
        <w:rPr>
          <w:rFonts w:ascii="Calibri" w:hAnsi="Calibri"/>
          <w:i/>
          <w:sz w:val="20"/>
          <w:szCs w:val="20"/>
        </w:rPr>
        <w:t xml:space="preserve"> </w:t>
      </w:r>
    </w:p>
    <w:p w:rsidR="009A77F7" w:rsidRPr="004D64B9" w:rsidRDefault="009A77F7" w:rsidP="006110BD">
      <w:pPr>
        <w:ind w:left="357"/>
        <w:jc w:val="both"/>
        <w:rPr>
          <w:rFonts w:ascii="Calibri" w:hAnsi="Calibri"/>
          <w:color w:val="FF0000"/>
        </w:rPr>
      </w:pPr>
    </w:p>
    <w:p w:rsidR="003779B4" w:rsidRPr="004D64B9" w:rsidRDefault="009A77F7" w:rsidP="006110BD">
      <w:pPr>
        <w:ind w:left="142"/>
        <w:jc w:val="both"/>
        <w:rPr>
          <w:rFonts w:ascii="Calibri" w:hAnsi="Calibri"/>
          <w:sz w:val="20"/>
          <w:szCs w:val="20"/>
        </w:rPr>
      </w:pPr>
      <w:r w:rsidRPr="004D64B9">
        <w:rPr>
          <w:rFonts w:ascii="Calibri" w:hAnsi="Calibri"/>
          <w:sz w:val="20"/>
          <w:szCs w:val="20"/>
        </w:rPr>
        <w:tab/>
      </w:r>
    </w:p>
    <w:p w:rsidR="003779B4" w:rsidRPr="004D64B9" w:rsidRDefault="003779B4" w:rsidP="006110BD">
      <w:pPr>
        <w:ind w:left="142"/>
        <w:jc w:val="both"/>
        <w:rPr>
          <w:rFonts w:ascii="Calibri" w:hAnsi="Calibri"/>
          <w:sz w:val="20"/>
          <w:szCs w:val="20"/>
        </w:rPr>
      </w:pPr>
    </w:p>
    <w:p w:rsidR="003779B4" w:rsidRPr="004D64B9" w:rsidRDefault="003779B4" w:rsidP="006110BD">
      <w:pPr>
        <w:ind w:left="142"/>
        <w:jc w:val="both"/>
        <w:rPr>
          <w:rFonts w:ascii="Calibri" w:hAnsi="Calibri"/>
          <w:sz w:val="20"/>
          <w:szCs w:val="20"/>
        </w:rPr>
      </w:pPr>
    </w:p>
    <w:p w:rsidR="00E7589C" w:rsidRDefault="00E7589C" w:rsidP="006110BD">
      <w:pPr>
        <w:ind w:left="142"/>
        <w:jc w:val="both"/>
        <w:rPr>
          <w:rFonts w:ascii="Calibri" w:hAnsi="Calibri"/>
          <w:i/>
          <w:sz w:val="20"/>
          <w:szCs w:val="20"/>
          <w:lang w:eastAsia="ja-JP"/>
        </w:rPr>
      </w:pPr>
    </w:p>
    <w:p w:rsidR="00E7589C" w:rsidRDefault="00E7589C" w:rsidP="006110BD">
      <w:pPr>
        <w:ind w:left="142"/>
        <w:jc w:val="both"/>
        <w:rPr>
          <w:rFonts w:ascii="Calibri" w:hAnsi="Calibri"/>
          <w:i/>
          <w:sz w:val="20"/>
          <w:szCs w:val="20"/>
          <w:lang w:eastAsia="ja-JP"/>
        </w:rPr>
      </w:pPr>
    </w:p>
    <w:p w:rsidR="00E7589C" w:rsidRDefault="00E7589C" w:rsidP="006110BD">
      <w:pPr>
        <w:ind w:left="142"/>
        <w:jc w:val="both"/>
        <w:rPr>
          <w:rFonts w:ascii="Calibri" w:hAnsi="Calibri"/>
          <w:i/>
          <w:sz w:val="20"/>
          <w:szCs w:val="20"/>
          <w:lang w:eastAsia="ja-JP"/>
        </w:rPr>
      </w:pPr>
    </w:p>
    <w:p w:rsidR="00E7589C" w:rsidRDefault="00E7589C" w:rsidP="006110BD">
      <w:pPr>
        <w:ind w:left="142"/>
        <w:jc w:val="both"/>
        <w:rPr>
          <w:rFonts w:ascii="Calibri" w:hAnsi="Calibri"/>
          <w:i/>
          <w:sz w:val="20"/>
          <w:szCs w:val="20"/>
          <w:lang w:eastAsia="ja-JP"/>
        </w:rPr>
      </w:pPr>
    </w:p>
    <w:p w:rsidR="009A77F7" w:rsidRPr="00B141A1" w:rsidRDefault="009A77F7" w:rsidP="00B141A1">
      <w:pPr>
        <w:ind w:left="-851"/>
        <w:jc w:val="both"/>
        <w:rPr>
          <w:rFonts w:ascii="Calibri" w:hAnsi="Calibri"/>
          <w:i/>
          <w:sz w:val="20"/>
          <w:szCs w:val="20"/>
          <w:lang w:val="en-GB" w:eastAsia="ja-JP"/>
        </w:rPr>
      </w:pPr>
      <w:r w:rsidRPr="00B141A1">
        <w:rPr>
          <w:rFonts w:ascii="Calibri" w:hAnsi="Calibri"/>
          <w:i/>
          <w:sz w:val="20"/>
          <w:szCs w:val="20"/>
          <w:lang w:val="en-GB" w:eastAsia="ja-JP"/>
        </w:rPr>
        <w:t>(1S</w:t>
      </w:r>
      <w:proofErr w:type="gramStart"/>
      <w:r w:rsidRPr="00B141A1">
        <w:rPr>
          <w:rFonts w:ascii="Calibri" w:hAnsi="Calibri"/>
          <w:i/>
          <w:sz w:val="20"/>
          <w:szCs w:val="20"/>
          <w:lang w:val="en-GB" w:eastAsia="ja-JP"/>
        </w:rPr>
        <w:t>,2R</w:t>
      </w:r>
      <w:proofErr w:type="gramEnd"/>
      <w:r w:rsidRPr="00B141A1">
        <w:rPr>
          <w:rFonts w:ascii="Calibri" w:hAnsi="Calibri"/>
          <w:i/>
          <w:sz w:val="20"/>
          <w:szCs w:val="20"/>
          <w:lang w:val="en-GB" w:eastAsia="ja-JP"/>
        </w:rPr>
        <w:t>)</w:t>
      </w:r>
      <w:proofErr w:type="gramStart"/>
      <w:r w:rsidRPr="00B141A1">
        <w:rPr>
          <w:rFonts w:ascii="Calibri" w:hAnsi="Calibri"/>
          <w:i/>
          <w:sz w:val="20"/>
          <w:szCs w:val="20"/>
          <w:lang w:val="en-GB" w:eastAsia="ja-JP"/>
        </w:rPr>
        <w:t>-(</w:t>
      </w:r>
      <w:proofErr w:type="gramEnd"/>
      <w:r w:rsidRPr="00B141A1">
        <w:rPr>
          <w:rFonts w:ascii="Calibri" w:hAnsi="Calibri"/>
          <w:i/>
          <w:sz w:val="20"/>
          <w:szCs w:val="20"/>
          <w:lang w:val="en-GB" w:eastAsia="ja-JP"/>
        </w:rPr>
        <w:t>−)-cis</w:t>
      </w:r>
      <w:r w:rsidR="00B141A1">
        <w:rPr>
          <w:rFonts w:ascii="Calibri" w:hAnsi="Calibri"/>
          <w:i/>
          <w:sz w:val="20"/>
          <w:szCs w:val="20"/>
          <w:lang w:val="en-GB" w:eastAsia="ja-JP"/>
        </w:rPr>
        <w:t xml:space="preserve"> et </w:t>
      </w:r>
      <w:r w:rsidR="00B141A1" w:rsidRPr="00B141A1">
        <w:rPr>
          <w:rFonts w:ascii="Calibri" w:hAnsi="Calibri"/>
          <w:i/>
          <w:sz w:val="20"/>
          <w:szCs w:val="20"/>
          <w:lang w:val="en-GB" w:eastAsia="ja-JP"/>
        </w:rPr>
        <w:t>1S,2S)-(+)-trans-</w:t>
      </w:r>
      <w:r w:rsidRPr="00B141A1">
        <w:rPr>
          <w:rFonts w:ascii="Calibri" w:hAnsi="Calibri"/>
          <w:i/>
          <w:sz w:val="20"/>
          <w:szCs w:val="20"/>
          <w:lang w:val="en-GB" w:eastAsia="ja-JP"/>
        </w:rPr>
        <w:t xml:space="preserve">-1-Amino-2-indanol </w:t>
      </w:r>
    </w:p>
    <w:p w:rsidR="009A77F7" w:rsidRPr="004D64B9" w:rsidRDefault="009A77F7" w:rsidP="006110BD">
      <w:pPr>
        <w:ind w:left="357"/>
        <w:jc w:val="both"/>
        <w:rPr>
          <w:rFonts w:ascii="Calibri" w:hAnsi="Calibri"/>
          <w:sz w:val="20"/>
          <w:szCs w:val="20"/>
          <w:lang w:val="en-GB"/>
        </w:rPr>
      </w:pPr>
    </w:p>
    <w:p w:rsidR="009A77F7" w:rsidRPr="004D64B9" w:rsidRDefault="009A77F7" w:rsidP="006110BD">
      <w:pPr>
        <w:ind w:firstLine="708"/>
        <w:jc w:val="both"/>
        <w:rPr>
          <w:lang w:val="en-GB"/>
        </w:rPr>
      </w:pPr>
    </w:p>
    <w:p w:rsidR="003779B4" w:rsidRPr="004D64B9" w:rsidRDefault="003779B4" w:rsidP="006110BD">
      <w:pPr>
        <w:ind w:firstLine="708"/>
        <w:jc w:val="both"/>
        <w:rPr>
          <w:lang w:val="en-GB"/>
        </w:rPr>
        <w:sectPr w:rsidR="003779B4" w:rsidRPr="004D64B9" w:rsidSect="00B141A1">
          <w:type w:val="continuous"/>
          <w:pgSz w:w="11900" w:h="16840"/>
          <w:pgMar w:top="1383" w:right="1134" w:bottom="1134" w:left="1134" w:header="709" w:footer="709" w:gutter="0"/>
          <w:cols w:num="2" w:space="2276"/>
        </w:sectPr>
      </w:pPr>
    </w:p>
    <w:p w:rsidR="004137F3" w:rsidRDefault="005B25D5" w:rsidP="00CB0C45">
      <w:pPr>
        <w:ind w:firstLine="708"/>
        <w:jc w:val="both"/>
      </w:pPr>
      <w:r>
        <w:t>La deuxième partie</w:t>
      </w:r>
      <w:r w:rsidR="005E607C">
        <w:t xml:space="preserve"> est le</w:t>
      </w:r>
      <w:r>
        <w:t xml:space="preserve"> développement expérimental</w:t>
      </w:r>
      <w:r w:rsidR="005E607C">
        <w:t xml:space="preserve"> d’</w:t>
      </w:r>
      <w:r>
        <w:t xml:space="preserve">un montage de dichroïsme circulaire </w:t>
      </w:r>
      <w:r w:rsidR="005E607C">
        <w:t>de photoélectron</w:t>
      </w:r>
      <w:r>
        <w:t xml:space="preserve"> </w:t>
      </w:r>
      <w:r w:rsidR="005E607C">
        <w:t xml:space="preserve">(PECD). Le PECD est une asymétrie avant-arrière dans la distribution angulaire d’éjection des électrons issus de la </w:t>
      </w:r>
      <w:proofErr w:type="spellStart"/>
      <w:r w:rsidR="005E607C">
        <w:t>photoionisation</w:t>
      </w:r>
      <w:proofErr w:type="spellEnd"/>
      <w:r w:rsidR="005E607C">
        <w:t xml:space="preserve"> d’une molécule chirale par une onde polarisée circulairement. Le projet consistera à participer à l’installation du nouveau spectromètre d’électrons et des optiques de polarisation. </w:t>
      </w:r>
      <w:r>
        <w:t xml:space="preserve">Selon les gouts et compétences de l’étudiant(e) recruté(e), on mettra l’accent sur l’un ou l’autre des </w:t>
      </w:r>
      <w:r w:rsidR="009A77F7">
        <w:t>proj</w:t>
      </w:r>
      <w:r>
        <w:t xml:space="preserve">ets.  </w:t>
      </w:r>
    </w:p>
    <w:sectPr w:rsidR="004137F3" w:rsidSect="003779B4">
      <w:type w:val="continuous"/>
      <w:pgSz w:w="11900" w:h="16840"/>
      <w:pgMar w:top="138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CBD" w:rsidRDefault="00077CBD" w:rsidP="008F0688">
      <w:r>
        <w:separator/>
      </w:r>
    </w:p>
  </w:endnote>
  <w:endnote w:type="continuationSeparator" w:id="0">
    <w:p w:rsidR="00077CBD" w:rsidRDefault="00077CBD" w:rsidP="008F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CBD" w:rsidRDefault="00077CBD" w:rsidP="008F0688">
      <w:r>
        <w:separator/>
      </w:r>
    </w:p>
  </w:footnote>
  <w:footnote w:type="continuationSeparator" w:id="0">
    <w:p w:rsidR="00077CBD" w:rsidRDefault="00077CBD" w:rsidP="008F0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688" w:rsidRPr="00212F81" w:rsidRDefault="00515A12" w:rsidP="00515A12">
    <w:pPr>
      <w:pStyle w:val="En-tte"/>
      <w:pBdr>
        <w:bottom w:val="single" w:sz="4" w:space="1" w:color="auto"/>
      </w:pBdr>
      <w:tabs>
        <w:tab w:val="clear" w:pos="9072"/>
        <w:tab w:val="right" w:pos="9632"/>
      </w:tabs>
      <w:rPr>
        <w:color w:val="A6A6A6"/>
      </w:rPr>
    </w:pPr>
    <w:proofErr w:type="spellStart"/>
    <w:r w:rsidRPr="00212F81">
      <w:rPr>
        <w:color w:val="A6A6A6"/>
      </w:rPr>
      <w:t>Univ</w:t>
    </w:r>
    <w:proofErr w:type="spellEnd"/>
    <w:r w:rsidRPr="00212F81">
      <w:rPr>
        <w:color w:val="A6A6A6"/>
      </w:rPr>
      <w:t>. Paris-Saclay</w:t>
    </w:r>
    <w:r w:rsidRPr="00212F81">
      <w:rPr>
        <w:color w:val="A6A6A6"/>
      </w:rPr>
      <w:tab/>
    </w:r>
    <w:r w:rsidRPr="00212F81">
      <w:rPr>
        <w:color w:val="A6A6A6"/>
      </w:rPr>
      <w:tab/>
      <w:t>2018-2019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88"/>
    <w:rsid w:val="00077CBD"/>
    <w:rsid w:val="000943BD"/>
    <w:rsid w:val="000E6528"/>
    <w:rsid w:val="001445C2"/>
    <w:rsid w:val="001734E7"/>
    <w:rsid w:val="001B3FAE"/>
    <w:rsid w:val="001C568A"/>
    <w:rsid w:val="00212F81"/>
    <w:rsid w:val="0022634C"/>
    <w:rsid w:val="00254C21"/>
    <w:rsid w:val="002F2670"/>
    <w:rsid w:val="003779B4"/>
    <w:rsid w:val="00396E68"/>
    <w:rsid w:val="003F39C9"/>
    <w:rsid w:val="004137F3"/>
    <w:rsid w:val="00413BC6"/>
    <w:rsid w:val="00444F06"/>
    <w:rsid w:val="004D64B9"/>
    <w:rsid w:val="004F7E74"/>
    <w:rsid w:val="00515A12"/>
    <w:rsid w:val="00544504"/>
    <w:rsid w:val="005B25D5"/>
    <w:rsid w:val="005E607C"/>
    <w:rsid w:val="006110BD"/>
    <w:rsid w:val="006A4DEB"/>
    <w:rsid w:val="006C7570"/>
    <w:rsid w:val="00744194"/>
    <w:rsid w:val="0078712F"/>
    <w:rsid w:val="007F6265"/>
    <w:rsid w:val="00887B40"/>
    <w:rsid w:val="008F0688"/>
    <w:rsid w:val="009A77F7"/>
    <w:rsid w:val="009B0CD6"/>
    <w:rsid w:val="00A37AE9"/>
    <w:rsid w:val="00A45E7F"/>
    <w:rsid w:val="00A61EA1"/>
    <w:rsid w:val="00A75FA0"/>
    <w:rsid w:val="00B04B70"/>
    <w:rsid w:val="00B141A1"/>
    <w:rsid w:val="00C10AF2"/>
    <w:rsid w:val="00C20EA2"/>
    <w:rsid w:val="00C3374B"/>
    <w:rsid w:val="00CB0C45"/>
    <w:rsid w:val="00DA74AB"/>
    <w:rsid w:val="00E7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AD07CA"/>
  <w14:defaultImageDpi w14:val="300"/>
  <w15:docId w15:val="{3886F884-9B26-4429-9025-59D27FDE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068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F0688"/>
    <w:rPr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8F06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F0688"/>
    <w:rPr>
      <w:lang w:val="fr-FR" w:eastAsia="fr-FR"/>
    </w:rPr>
  </w:style>
  <w:style w:type="character" w:styleId="Lienhypertexte">
    <w:name w:val="Hyperlink"/>
    <w:uiPriority w:val="99"/>
    <w:unhideWhenUsed/>
    <w:rsid w:val="004137F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A77F7"/>
    <w:pPr>
      <w:ind w:left="708"/>
    </w:pPr>
    <w:rPr>
      <w:rFonts w:ascii="Arial" w:hAnsi="Arial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valeria.lepere@u-psud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e.zehnacker-rentien@u-psud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emf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Mallah</dc:creator>
  <cp:lastModifiedBy>anne</cp:lastModifiedBy>
  <cp:revision>2</cp:revision>
  <dcterms:created xsi:type="dcterms:W3CDTF">2019-11-13T12:42:00Z</dcterms:created>
  <dcterms:modified xsi:type="dcterms:W3CDTF">2019-11-13T12:42:00Z</dcterms:modified>
</cp:coreProperties>
</file>